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cs="楷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val="en-US" w:eastAsia="zh-CN"/>
        </w:rPr>
        <w:t>范县龙王庄镇</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年</w:t>
      </w:r>
      <w:r>
        <w:rPr>
          <w:rFonts w:hint="eastAsia" w:ascii="黑体" w:hAnsi="黑体" w:eastAsia="黑体" w:cs="黑体"/>
          <w:color w:val="auto"/>
          <w:sz w:val="32"/>
          <w:szCs w:val="32"/>
          <w:highlight w:val="none"/>
          <w:lang w:eastAsia="zh-CN"/>
        </w:rPr>
        <w:t>十一</w:t>
      </w:r>
      <w:r>
        <w:rPr>
          <w:rFonts w:hint="eastAsia" w:ascii="黑体" w:hAnsi="黑体" w:eastAsia="黑体" w:cs="黑体"/>
          <w:color w:val="auto"/>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范县龙王庄镇</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val="en-US" w:eastAsia="zh-CN"/>
        </w:rPr>
        <w:t>范县龙王庄镇</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shd w:val="clear" w:color="auto" w:fill="FFFFFF"/>
        <w:spacing w:before="100" w:beforeAutospacing="1" w:after="100" w:afterAutospacing="1"/>
        <w:ind w:firstLine="640" w:firstLineChars="200"/>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一、 执行国家行政机关的决定、命令和国家制定的法令、法规，执行本级人民代表大会的各项决议，并报告执行决议、决定和命令的情况。</w:t>
      </w:r>
    </w:p>
    <w:p>
      <w:pPr>
        <w:widowControl/>
        <w:shd w:val="clear" w:color="auto" w:fill="FFFFFF"/>
        <w:spacing w:before="100" w:beforeAutospacing="1" w:after="100" w:afterAutospacing="1"/>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　　二、 制定并落实本行政区域的经济计划和措施，全面提高人民群众的生活水平和生活质量。</w:t>
      </w:r>
    </w:p>
    <w:p>
      <w:pPr>
        <w:widowControl/>
        <w:shd w:val="clear" w:color="auto" w:fill="FFFFFF"/>
        <w:spacing w:before="100" w:beforeAutospacing="1" w:after="100" w:afterAutospacing="1"/>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　　三、 承担国有资产、集体资产管理、监督及增值保值责任。</w:t>
      </w:r>
    </w:p>
    <w:p>
      <w:pPr>
        <w:widowControl/>
        <w:shd w:val="clear" w:color="auto" w:fill="FFFFFF"/>
        <w:spacing w:before="100" w:beforeAutospacing="1" w:after="100" w:afterAutospacing="1"/>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　  四、 制定社会各项事业发展计划，发展教育、卫生、科技、民政、广播电视、文化、体育事业；加强计划生育工作；推进社会保障、社会福利事业和养老保险等工作。</w:t>
      </w:r>
    </w:p>
    <w:p>
      <w:pPr>
        <w:widowControl/>
        <w:shd w:val="clear" w:color="auto" w:fill="FFFFFF"/>
        <w:spacing w:before="100" w:beforeAutospacing="1" w:after="100" w:afterAutospacing="1"/>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　　五、 加强镇级财政的监督和管理。</w:t>
      </w:r>
    </w:p>
    <w:p>
      <w:pPr>
        <w:widowControl/>
        <w:shd w:val="clear" w:color="auto" w:fill="FFFFFF"/>
        <w:spacing w:before="100" w:beforeAutospacing="1" w:after="100" w:afterAutospacing="1"/>
        <w:jc w:val="left"/>
        <w:rPr>
          <w:rFonts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　　六、 指导村（居）民委员会的组织制度建设和业务建设，促进村（居）民委员会民主自治。</w:t>
      </w:r>
    </w:p>
    <w:p>
      <w:pPr>
        <w:widowControl/>
        <w:shd w:val="clear" w:color="auto" w:fill="FFFFFF"/>
        <w:spacing w:before="100" w:beforeAutospacing="1" w:after="100" w:afterAutospacing="1"/>
        <w:ind w:firstLine="640" w:firstLineChars="200"/>
        <w:jc w:val="left"/>
        <w:rPr>
          <w:rFonts w:hint="eastAsia" w:ascii="仿宋_GB2312" w:hAnsi="宋体" w:eastAsia="仿宋_GB2312" w:cs="宋体"/>
          <w:color w:val="000000"/>
          <w:kern w:val="0"/>
          <w:sz w:val="32"/>
          <w:szCs w:val="32"/>
          <w:shd w:val="clear" w:color="auto" w:fill="FFFFFF"/>
          <w:lang w:val="en-US" w:eastAsia="zh-CN" w:bidi="ar-SA"/>
        </w:rPr>
      </w:pPr>
      <w:r>
        <w:rPr>
          <w:rFonts w:hint="eastAsia" w:ascii="仿宋_GB2312" w:hAnsi="宋体" w:eastAsia="仿宋_GB2312" w:cs="宋体"/>
          <w:color w:val="000000"/>
          <w:kern w:val="0"/>
          <w:sz w:val="32"/>
          <w:szCs w:val="32"/>
          <w:shd w:val="clear" w:color="auto" w:fill="FFFFFF"/>
          <w:lang w:val="en-US" w:eastAsia="zh-CN" w:bidi="ar-SA"/>
        </w:rPr>
        <w:t>七、 协助和支持设置在本行政区域内不隶属于镇的国家机关和企事业单位工作，监督其遵守和执行国家的法律、法规和政策。</w:t>
      </w:r>
    </w:p>
    <w:p>
      <w:pPr>
        <w:widowControl/>
        <w:shd w:val="clear" w:color="auto" w:fill="FFFFFF"/>
        <w:spacing w:before="100" w:beforeAutospacing="1" w:after="100" w:afterAutospacing="1"/>
        <w:jc w:val="left"/>
        <w:rPr>
          <w:rFonts w:ascii="仿宋_GB2312" w:hAnsi="宋体" w:eastAsia="仿宋_GB2312" w:cs="宋体"/>
          <w:kern w:val="0"/>
          <w:sz w:val="32"/>
          <w:szCs w:val="32"/>
        </w:rPr>
      </w:pPr>
      <w:r>
        <w:rPr>
          <w:rFonts w:hint="eastAsia" w:ascii="仿宋_GB2312" w:hAnsi="宋体" w:eastAsia="仿宋_GB2312" w:cs="宋体"/>
          <w:color w:val="000000"/>
          <w:sz w:val="32"/>
          <w:szCs w:val="32"/>
          <w:shd w:val="clear" w:color="auto" w:fill="FFFFFF"/>
        </w:rPr>
        <w:t>　　八、 承办本级党委、人大和上级交办的其它事项</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龙王庄镇政府有二级预算单位4个，本决算为汇总决算，纳入本部门20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年度部门决算编报范围的二级预算单位如下：</w:t>
      </w:r>
    </w:p>
    <w:p>
      <w:pPr>
        <w:widowControl/>
        <w:numPr>
          <w:ilvl w:val="0"/>
          <w:numId w:val="2"/>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龙王庄镇计划生育技术服务中心</w:t>
      </w:r>
    </w:p>
    <w:p>
      <w:pPr>
        <w:widowControl/>
        <w:numPr>
          <w:ilvl w:val="0"/>
          <w:numId w:val="2"/>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龙王庄镇农业服务中心</w:t>
      </w:r>
    </w:p>
    <w:p>
      <w:pPr>
        <w:widowControl/>
        <w:numPr>
          <w:ilvl w:val="0"/>
          <w:numId w:val="2"/>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龙王庄镇村镇建设发展中心</w:t>
      </w:r>
    </w:p>
    <w:p>
      <w:pPr>
        <w:widowControl/>
        <w:numPr>
          <w:ilvl w:val="0"/>
          <w:numId w:val="2"/>
        </w:numPr>
        <w:ind w:firstLine="640" w:firstLineChars="200"/>
        <w:jc w:val="left"/>
        <w:rPr>
          <w:rFonts w:ascii="仿宋_GB2312" w:hAnsi="仿宋_GB2312" w:eastAsia="仿宋_GB2312" w:cs="仿宋_GB2312"/>
          <w:kern w:val="0"/>
          <w:sz w:val="32"/>
          <w:szCs w:val="32"/>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龙王庄镇文化服务中</w:t>
      </w:r>
      <w:r>
        <w:rPr>
          <w:rFonts w:hint="eastAsia" w:ascii="仿宋_GB2312" w:hAnsi="仿宋_GB2312" w:eastAsia="仿宋_GB2312" w:cs="仿宋_GB2312"/>
          <w:kern w:val="0"/>
          <w:sz w:val="32"/>
          <w:szCs w:val="32"/>
          <w:lang w:val="en-US" w:eastAsia="zh-CN"/>
        </w:rPr>
        <w:t>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4"/>
        <w:tblW w:w="87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96"/>
        <w:gridCol w:w="586"/>
        <w:gridCol w:w="1026"/>
        <w:gridCol w:w="2916"/>
        <w:gridCol w:w="58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9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5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9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收入支出决算总表</w:t>
            </w:r>
          </w:p>
        </w:tc>
        <w:tc>
          <w:tcPr>
            <w:tcW w:w="28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5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9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注：本表反映部门本年度的总收支和年末结转结余情况。本套报表金额单位转换时可能存在尾数误差。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pPr w:leftFromText="180" w:rightFromText="180" w:vertAnchor="text" w:horzAnchor="page" w:tblpXSpec="center" w:tblpY="606"/>
        <w:tblOverlap w:val="never"/>
        <w:tblW w:w="96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339"/>
        <w:gridCol w:w="339"/>
        <w:gridCol w:w="3956"/>
        <w:gridCol w:w="138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2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30"/>
                <w:szCs w:val="30"/>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30"/>
                <w:szCs w:val="30"/>
                <w:u w:val="none"/>
              </w:rPr>
            </w:pPr>
          </w:p>
        </w:tc>
        <w:tc>
          <w:tcPr>
            <w:tcW w:w="39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c>
          <w:tcPr>
            <w:tcW w:w="13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30"/>
                <w:szCs w:val="30"/>
                <w:u w:val="none"/>
              </w:rPr>
            </w:pPr>
          </w:p>
        </w:tc>
        <w:tc>
          <w:tcPr>
            <w:tcW w:w="1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部门：范县龙王庄镇</w:t>
            </w: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65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69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jc w:val="center"/>
        </w:trPr>
        <w:tc>
          <w:tcPr>
            <w:tcW w:w="269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65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65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11,165.00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6,574.00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2,573.00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2,311.00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农村合作经济</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2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36"/>
        <w:gridCol w:w="339"/>
        <w:gridCol w:w="339"/>
        <w:gridCol w:w="3276"/>
        <w:gridCol w:w="1851"/>
        <w:gridCol w:w="1851"/>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8"/>
                <w:szCs w:val="18"/>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3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28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8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185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支出决算表</w:t>
            </w:r>
          </w:p>
        </w:tc>
        <w:tc>
          <w:tcPr>
            <w:tcW w:w="18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8"/>
                <w:szCs w:val="18"/>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11,165.00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4,999.00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应用研究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社会公益研究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环境保护管理事务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污染防治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大气</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城管执法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农村合作经济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农村道路建设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农田建设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gridSpan w:val="3"/>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注：本表反映部门本年度各项支出情况。</w:t>
      </w:r>
    </w:p>
    <w:tbl>
      <w:tblPr>
        <w:tblStyle w:val="4"/>
        <w:tblW w:w="104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6"/>
        <w:gridCol w:w="586"/>
        <w:gridCol w:w="1015"/>
        <w:gridCol w:w="2616"/>
        <w:gridCol w:w="399"/>
        <w:gridCol w:w="936"/>
        <w:gridCol w:w="948"/>
        <w:gridCol w:w="1020"/>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2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16"/>
                <w:szCs w:val="16"/>
                <w:u w:val="none"/>
              </w:rPr>
            </w:pPr>
          </w:p>
        </w:tc>
        <w:tc>
          <w:tcPr>
            <w:tcW w:w="5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4894"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财政拨款收入支出决算总表</w:t>
            </w:r>
          </w:p>
        </w:tc>
        <w:tc>
          <w:tcPr>
            <w:tcW w:w="9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10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7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225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10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3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9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10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7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225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02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230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94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02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73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5,997.00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11,165.00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11,165.00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8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616"/>
        <w:gridCol w:w="1023"/>
        <w:gridCol w:w="102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8121"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85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应用研究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社会公益研究</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污染防治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大气</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城管执法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农村合作经济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农村道路建设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农田建设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0"/>
        <w:gridCol w:w="2625"/>
        <w:gridCol w:w="1031"/>
        <w:gridCol w:w="650"/>
        <w:gridCol w:w="1822"/>
        <w:gridCol w:w="1033"/>
        <w:gridCol w:w="650"/>
        <w:gridCol w:w="3267"/>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7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7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92"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一般公共预算财政拨款基本支出决算表</w:t>
            </w:r>
          </w:p>
        </w:tc>
        <w:tc>
          <w:tcPr>
            <w:tcW w:w="23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75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7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8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75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274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58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230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2,895.76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135.63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1,531.44</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1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929"/>
        <w:gridCol w:w="814"/>
        <w:gridCol w:w="698"/>
        <w:gridCol w:w="810"/>
        <w:gridCol w:w="818"/>
        <w:gridCol w:w="809"/>
        <w:gridCol w:w="876"/>
        <w:gridCol w:w="809"/>
        <w:gridCol w:w="701"/>
        <w:gridCol w:w="81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jc w:val="center"/>
        </w:trPr>
        <w:tc>
          <w:tcPr>
            <w:tcW w:w="1170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26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43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8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3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8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08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87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108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1700"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4"/>
        <w:tblW w:w="11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222"/>
        <w:gridCol w:w="222"/>
        <w:gridCol w:w="3736"/>
        <w:gridCol w:w="660"/>
        <w:gridCol w:w="1103"/>
        <w:gridCol w:w="1103"/>
        <w:gridCol w:w="660"/>
        <w:gridCol w:w="11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1817"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部门：范县龙王庄镇</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6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yellow"/>
        </w:rPr>
      </w:pPr>
    </w:p>
    <w:p>
      <w:pPr>
        <w:jc w:val="center"/>
        <w:rPr>
          <w:rFonts w:hint="eastAsia" w:ascii="仿宋_GB2312" w:hAnsi="仿宋_GB2312" w:eastAsia="仿宋_GB2312" w:cs="仿宋_GB2312"/>
          <w:sz w:val="32"/>
          <w:szCs w:val="32"/>
          <w:highlight w:val="yellow"/>
        </w:rPr>
      </w:pPr>
    </w:p>
    <w:p>
      <w:pPr>
        <w:jc w:val="cente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11165</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5664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专项基金的增加</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11165</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511165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11165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4999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44.77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6166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55.23</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11165</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5664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专项基金的增加</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5168</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46.29</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594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12.98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企业效益好，税收增多</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5168</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1216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公共安全支出80万元，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1.54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科学技术支出390万元，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7.55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文化旅游体育与传媒支出195万元，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3.77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社会保障和就业支出217万元，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卫生健康支出61万元，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节能环保支出85万元，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城乡社区支出577万元，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农林水支出2311万元，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44.72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住房保障支出36万元，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0.70%。</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4028.95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5168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128.27</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政府办公厅及相关机构事务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1353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1045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77.23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节约政府开支</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政府办公厅及相关机构事务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一般行政管理事务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46.5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调整支出数据</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财政事务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增加了财政事务的支出</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审计事务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33.33</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纪检监察事务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33.33</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政府办公厅及相关机构事务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%。决</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组织事务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其他组织事务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一般公共服务支出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统战事务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宗教</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宗教事务增加</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公共安全支出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公安（</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30.76</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社会秩序良好</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p>
    <w:p>
      <w:pPr>
        <w:widowControl/>
        <w:numPr>
          <w:ilvl w:val="0"/>
          <w:numId w:val="3"/>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应用研究（</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）社会公益研究</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300.00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其他科学技术支出（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）其他科学技术支出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万元，完成年初预算</w:t>
      </w:r>
      <w:r>
        <w:rPr>
          <w:rFonts w:hint="eastAsia" w:ascii="仿宋_GB2312" w:hAnsi="仿宋_GB2312" w:eastAsia="仿宋_GB2312" w:cs="仿宋_GB2312"/>
          <w:sz w:val="32"/>
          <w:szCs w:val="32"/>
          <w:lang w:val="en-US" w:eastAsia="zh-CN"/>
        </w:rPr>
        <w:t>9000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文化旅游体育与传媒支出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文化和旅游（</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）行政运行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333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办公事务增多</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文化旅游体育与传媒支出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文化和旅游（</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）文化活动</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333</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文化旅游体育与传媒支出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文化和旅游（</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）群众文化</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万元，完成年初预算</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群众事务增多</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住房保障支出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val="en-US" w:eastAsia="zh-CN"/>
        </w:rPr>
        <w:t>住房改革支出（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）住房公积金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148.83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24.18</w:t>
      </w:r>
      <w:r>
        <w:rPr>
          <w:rFonts w:hint="eastAsia" w:ascii="仿宋_GB2312" w:hAnsi="仿宋_GB2312" w:eastAsia="仿宋_GB2312" w:cs="仿宋_GB2312"/>
          <w:sz w:val="32"/>
          <w:szCs w:val="32"/>
        </w:rPr>
        <w:t>%。</w:t>
      </w:r>
      <w:bookmarkStart w:id="0" w:name="_GoBack"/>
      <w:bookmarkEnd w:id="0"/>
    </w:p>
    <w:p>
      <w:pPr>
        <w:widowControl/>
        <w:numPr>
          <w:ilvl w:val="0"/>
          <w:numId w:val="0"/>
        </w:numPr>
        <w:spacing w:line="590" w:lineRule="exact"/>
        <w:rPr>
          <w:rFonts w:hint="eastAsia" w:ascii="仿宋_GB2312" w:hAnsi="仿宋_GB2312" w:eastAsia="仿宋_GB2312" w:cs="仿宋_GB2312"/>
          <w:sz w:val="32"/>
          <w:szCs w:val="32"/>
        </w:rPr>
      </w:pPr>
    </w:p>
    <w:p>
      <w:pPr>
        <w:widowControl/>
        <w:numPr>
          <w:ilvl w:val="0"/>
          <w:numId w:val="0"/>
        </w:numPr>
        <w:spacing w:line="590" w:lineRule="exact"/>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4999</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1531.44</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Pr>
          <w:rFonts w:hint="eastAsia" w:ascii="仿宋_GB2312" w:hAnsi="仿宋_GB2312" w:eastAsia="仿宋_GB2312" w:cs="仿宋_GB2312"/>
          <w:sz w:val="32"/>
          <w:szCs w:val="32"/>
          <w:lang w:val="en-US" w:eastAsia="zh-CN"/>
        </w:rPr>
        <w:t>3077.56</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31.64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91.15</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val="en-US" w:eastAsia="zh-CN"/>
        </w:rPr>
        <w:t>认真贯彻落实中共中央八项规定节约经费开支</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12.22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93.86</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42.37</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16.62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89.26</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57.63</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w:t>
      </w:r>
      <w:r>
        <w:rPr>
          <w:rFonts w:hint="eastAsia" w:ascii="仿宋_GB2312" w:hAnsi="仿宋_GB2312" w:eastAsia="仿宋_GB2312" w:cs="仿宋_GB2312"/>
          <w:sz w:val="32"/>
          <w:szCs w:val="32"/>
          <w:u w:val="wave"/>
        </w:rPr>
        <w:t>全年因公出国（境）团组个，累计</w:t>
      </w:r>
      <w:r>
        <w:rPr>
          <w:rFonts w:hint="eastAsia" w:ascii="仿宋_GB2312" w:hAnsi="仿宋_GB2312" w:eastAsia="仿宋_GB2312" w:cs="仿宋_GB2312"/>
          <w:sz w:val="32"/>
          <w:szCs w:val="32"/>
          <w:u w:val="wave"/>
          <w:lang w:val="en-US" w:eastAsia="zh-CN"/>
        </w:rPr>
        <w:t>0</w:t>
      </w:r>
      <w:r>
        <w:rPr>
          <w:rFonts w:hint="eastAsia" w:ascii="仿宋_GB2312" w:hAnsi="仿宋_GB2312" w:eastAsia="仿宋_GB2312" w:cs="仿宋_GB2312"/>
          <w:sz w:val="32"/>
          <w:szCs w:val="32"/>
          <w:u w:val="wave"/>
        </w:rPr>
        <w:t>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13.02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93.86</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val="en-US" w:eastAsia="zh-CN"/>
        </w:rPr>
        <w:t>认真贯彻落实中共中央八项规定节约经费开支</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12.22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zh-CN"/>
        </w:rPr>
        <w:t>公务车辆加油及维修和过路过桥费用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18.62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89.26</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val="en-US" w:eastAsia="zh-CN"/>
        </w:rPr>
        <w:t>认真贯彻落实中共中央八项规定节约经费开支</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sz w:val="32"/>
          <w:szCs w:val="32"/>
        </w:rPr>
        <w:t>万元。</w:t>
      </w:r>
    </w:p>
    <w:p>
      <w:pPr>
        <w:widowControl/>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16.62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zh-CN"/>
        </w:rPr>
        <w:t>上级指导工作。20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年共接待国内来访团组</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lang w:val="zh-CN"/>
        </w:rPr>
        <w:t>个、来宾</w:t>
      </w:r>
      <w:r>
        <w:rPr>
          <w:rFonts w:hint="eastAsia" w:ascii="仿宋_GB2312" w:hAnsi="仿宋_GB2312" w:eastAsia="仿宋_GB2312" w:cs="仿宋_GB2312"/>
          <w:sz w:val="32"/>
          <w:szCs w:val="32"/>
          <w:lang w:val="en-US" w:eastAsia="zh-CN"/>
        </w:rPr>
        <w:t>5546</w:t>
      </w:r>
      <w:r>
        <w:rPr>
          <w:rFonts w:hint="eastAsia" w:ascii="仿宋_GB2312" w:hAnsi="仿宋_GB2312" w:eastAsia="仿宋_GB2312" w:cs="仿宋_GB2312"/>
          <w:sz w:val="32"/>
          <w:szCs w:val="32"/>
          <w:lang w:val="zh-CN"/>
        </w:rPr>
        <w:t>人次（不包括陪同人员）。</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我单位纳入预算绩效管理的支出总额为0万元，其中人员经费支出0万元，公用经费支出0万元；支出项目共0个，支出金额0万元。其中，进行项目绩效自评0个，自评金额0万元；纳入重点绩效评价（部门评价或财政评价）0个，评价金额0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960" w:firstLineChars="30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无。</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960" w:firstLineChars="300"/>
        <w:outlineLvl w:val="1"/>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无</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5997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5997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zh-CN"/>
        </w:rPr>
        <w:t>占地租金及附着物</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2895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2895.76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zh-CN"/>
        </w:rPr>
        <w:t>增加了退休人员的两项补贴。</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ascii="Calibri" w:hAnsi="Calibri" w:eastAsia="宋体"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rPr>
                        <w:rFonts w:ascii="Calibri" w:hAnsi="Calibri" w:eastAsia="宋体"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98D63"/>
    <w:multiLevelType w:val="singleLevel"/>
    <w:tmpl w:val="0B398D63"/>
    <w:lvl w:ilvl="0" w:tentative="0">
      <w:start w:val="10"/>
      <w:numFmt w:val="decimal"/>
      <w:suff w:val="nothing"/>
      <w:lvlText w:val="%1．"/>
      <w:lvlJc w:val="left"/>
      <w:rPr>
        <w:rFonts w:hint="default"/>
        <w:b/>
        <w:bCs/>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B5523CE"/>
    <w:multiLevelType w:val="singleLevel"/>
    <w:tmpl w:val="5B5523CE"/>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F11DA"/>
    <w:rsid w:val="068A502B"/>
    <w:rsid w:val="1CD11A0F"/>
    <w:rsid w:val="21DC286A"/>
    <w:rsid w:val="240E06F2"/>
    <w:rsid w:val="27C00DCF"/>
    <w:rsid w:val="2C250F60"/>
    <w:rsid w:val="2D5347F6"/>
    <w:rsid w:val="33C356CB"/>
    <w:rsid w:val="34BB2AED"/>
    <w:rsid w:val="3E4C25CA"/>
    <w:rsid w:val="42984050"/>
    <w:rsid w:val="4701142B"/>
    <w:rsid w:val="47866D7F"/>
    <w:rsid w:val="47AD3311"/>
    <w:rsid w:val="497A2108"/>
    <w:rsid w:val="4EFC09E4"/>
    <w:rsid w:val="51B12343"/>
    <w:rsid w:val="57491E82"/>
    <w:rsid w:val="587F2E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dcterms:modified xsi:type="dcterms:W3CDTF">2021-11-04T01:46:11Z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C32B5B8BDE8244779963F265CE44C7A6</vt:lpwstr>
  </property>
</Properties>
</file>